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rPr>
      </w:pPr>
      <w:r>
        <w:rPr>
          <w:rFonts w:hint="eastAsia" w:ascii="宋体" w:hAnsi="宋体" w:eastAsia="宋体" w:cs="Times New Roman"/>
          <w:b/>
          <w:sz w:val="44"/>
          <w:szCs w:val="44"/>
        </w:rPr>
        <w:t>本溪市水务局</w:t>
      </w:r>
    </w:p>
    <w:p>
      <w:pPr>
        <w:jc w:val="center"/>
        <w:rPr>
          <w:rFonts w:ascii="宋体" w:hAnsi="宋体" w:eastAsia="宋体" w:cs="Times New Roman"/>
          <w:b/>
          <w:sz w:val="44"/>
          <w:szCs w:val="44"/>
        </w:rPr>
      </w:pPr>
      <w:r>
        <w:rPr>
          <w:rFonts w:hint="eastAsia" w:ascii="宋体" w:hAnsi="宋体" w:eastAsia="宋体" w:cs="Times New Roman"/>
          <w:b/>
          <w:sz w:val="44"/>
          <w:szCs w:val="44"/>
        </w:rPr>
        <w:t>202</w:t>
      </w:r>
      <w:r>
        <w:rPr>
          <w:rFonts w:ascii="宋体" w:hAnsi="宋体" w:eastAsia="宋体" w:cs="Times New Roman"/>
          <w:b/>
          <w:sz w:val="44"/>
          <w:szCs w:val="44"/>
        </w:rPr>
        <w:t>1</w:t>
      </w:r>
      <w:r>
        <w:rPr>
          <w:rFonts w:hint="eastAsia" w:ascii="宋体" w:hAnsi="宋体" w:eastAsia="宋体" w:cs="Times New Roman"/>
          <w:b/>
          <w:sz w:val="44"/>
          <w:szCs w:val="44"/>
        </w:rPr>
        <w:t>年度政府信息</w:t>
      </w:r>
      <w:bookmarkStart w:id="0" w:name="_GoBack"/>
      <w:bookmarkEnd w:id="0"/>
      <w:r>
        <w:rPr>
          <w:rFonts w:hint="eastAsia" w:ascii="宋体" w:hAnsi="宋体" w:eastAsia="宋体" w:cs="Times New Roman"/>
          <w:b/>
          <w:sz w:val="44"/>
          <w:szCs w:val="44"/>
        </w:rPr>
        <w:t>公开工作报告</w:t>
      </w:r>
    </w:p>
    <w:p>
      <w:pPr>
        <w:jc w:val="center"/>
        <w:rPr>
          <w:rFonts w:ascii="方正小标宋简体" w:hAnsi="Times New Roman" w:eastAsia="方正小标宋简体" w:cs="Times New Roman"/>
          <w:sz w:val="44"/>
          <w:szCs w:val="44"/>
        </w:rPr>
      </w:pPr>
    </w:p>
    <w:p>
      <w:pPr>
        <w:spacing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一、总体情况</w:t>
      </w:r>
    </w:p>
    <w:p>
      <w:pPr>
        <w:ind w:firstLine="54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本溪市水务局认真贯彻落实有关政务信息公开工作部署和精神，根据市政府政务公开工作要点和涉水行政法律法规明确的公示公告事项，紧密围绕优化营商环境，全面梳理本部门政务信息公开内容，加强信息公开载体建设，进一步规范各类信息主动公开和依申请公开，为切实保障社会群众对水务管理的知情权、参与权和监督权，提供了有效途径。</w:t>
      </w:r>
    </w:p>
    <w:p>
      <w:pPr>
        <w:ind w:firstLine="640" w:firstLineChars="200"/>
        <w:rPr>
          <w:rFonts w:ascii="仿宋" w:hAnsi="仿宋" w:eastAsia="仿宋"/>
          <w:sz w:val="32"/>
          <w:szCs w:val="32"/>
        </w:rPr>
      </w:pPr>
      <w:r>
        <w:rPr>
          <w:rFonts w:hint="eastAsia" w:ascii="仿宋" w:hAnsi="仿宋" w:eastAsia="仿宋"/>
          <w:sz w:val="32"/>
          <w:szCs w:val="32"/>
        </w:rPr>
        <w:t>通过部门网站主动公开各类政务信息</w:t>
      </w:r>
      <w:r>
        <w:rPr>
          <w:rFonts w:ascii="仿宋" w:hAnsi="仿宋" w:eastAsia="仿宋"/>
          <w:sz w:val="32"/>
          <w:szCs w:val="32"/>
        </w:rPr>
        <w:t>533</w:t>
      </w:r>
      <w:r>
        <w:rPr>
          <w:rFonts w:hint="eastAsia" w:ascii="仿宋" w:hAnsi="仿宋" w:eastAsia="仿宋"/>
          <w:sz w:val="32"/>
          <w:szCs w:val="32"/>
        </w:rPr>
        <w:t>条、通过微信公众平台发布工作动态信息</w:t>
      </w:r>
      <w:r>
        <w:rPr>
          <w:rFonts w:ascii="仿宋" w:hAnsi="仿宋" w:eastAsia="仿宋"/>
          <w:sz w:val="32"/>
          <w:szCs w:val="32"/>
        </w:rPr>
        <w:t>353</w:t>
      </w:r>
      <w:r>
        <w:rPr>
          <w:rFonts w:hint="eastAsia" w:ascii="仿宋" w:hAnsi="仿宋" w:eastAsia="仿宋"/>
          <w:sz w:val="32"/>
          <w:szCs w:val="32"/>
        </w:rPr>
        <w:t>条。对水务部门履行行政管理职能情况，推进农村水利、防汛抗旱、河务事业、水土保持、水资源管理、移民后扶、城市供水以及机关建设、三公经费等各项信息，全面进行公开。同时在世界水日、中国水周、政务公开日、法制宣传日等重点时段，</w:t>
      </w:r>
      <w:r>
        <w:rPr>
          <w:rFonts w:hint="eastAsia" w:ascii="仿宋" w:hAnsi="仿宋" w:eastAsia="仿宋" w:cs="仿宋_GB2312"/>
          <w:sz w:val="32"/>
          <w:szCs w:val="32"/>
        </w:rPr>
        <w:t>多角度、深层次</w:t>
      </w:r>
      <w:r>
        <w:rPr>
          <w:rFonts w:hint="eastAsia" w:ascii="仿宋" w:hAnsi="仿宋" w:eastAsia="仿宋"/>
          <w:sz w:val="32"/>
          <w:szCs w:val="32"/>
        </w:rPr>
        <w:t>广泛开展信息公开宣传活动。</w:t>
      </w:r>
    </w:p>
    <w:p>
      <w:pPr>
        <w:ind w:firstLine="640" w:firstLineChars="200"/>
        <w:rPr>
          <w:rFonts w:ascii="仿宋" w:hAnsi="仿宋" w:eastAsia="仿宋"/>
          <w:sz w:val="32"/>
          <w:szCs w:val="32"/>
        </w:rPr>
      </w:pPr>
      <w:r>
        <w:rPr>
          <w:rFonts w:hint="eastAsia" w:ascii="仿宋" w:hAnsi="仿宋" w:eastAsia="仿宋"/>
          <w:sz w:val="32"/>
          <w:szCs w:val="32"/>
        </w:rPr>
        <w:t>认真办理依申请公开和积极回应社会关切，进一步完善依申请公开制度和流程，落实工作责任。202</w:t>
      </w:r>
      <w:r>
        <w:rPr>
          <w:rFonts w:ascii="仿宋" w:hAnsi="仿宋" w:eastAsia="仿宋"/>
          <w:sz w:val="32"/>
          <w:szCs w:val="32"/>
        </w:rPr>
        <w:t>1</w:t>
      </w:r>
      <w:r>
        <w:rPr>
          <w:rFonts w:hint="eastAsia" w:ascii="仿宋" w:hAnsi="仿宋" w:eastAsia="仿宋"/>
          <w:sz w:val="32"/>
          <w:szCs w:val="32"/>
        </w:rPr>
        <w:t>年收到申请信息公开办理件0件。市政府信箱</w:t>
      </w:r>
      <w:r>
        <w:rPr>
          <w:rFonts w:ascii="仿宋" w:hAnsi="仿宋" w:eastAsia="仿宋"/>
          <w:sz w:val="32"/>
          <w:szCs w:val="32"/>
        </w:rPr>
        <w:t>0</w:t>
      </w:r>
      <w:r>
        <w:rPr>
          <w:rFonts w:hint="eastAsia" w:ascii="仿宋" w:hAnsi="仿宋" w:eastAsia="仿宋"/>
          <w:sz w:val="32"/>
          <w:szCs w:val="32"/>
        </w:rPr>
        <w:t>件，民心网诉求件1</w:t>
      </w:r>
      <w:r>
        <w:rPr>
          <w:rFonts w:ascii="仿宋" w:hAnsi="仿宋" w:eastAsia="仿宋"/>
          <w:sz w:val="32"/>
          <w:szCs w:val="32"/>
        </w:rPr>
        <w:t>0</w:t>
      </w:r>
      <w:r>
        <w:rPr>
          <w:rFonts w:hint="eastAsia" w:ascii="仿宋" w:hAnsi="仿宋" w:eastAsia="仿宋"/>
          <w:sz w:val="32"/>
          <w:szCs w:val="32"/>
        </w:rPr>
        <w:t>件，承办人大代表建议和市政协提案共计</w:t>
      </w:r>
      <w:r>
        <w:rPr>
          <w:rFonts w:ascii="仿宋" w:hAnsi="仿宋" w:eastAsia="仿宋"/>
          <w:sz w:val="32"/>
          <w:szCs w:val="32"/>
        </w:rPr>
        <w:t>10</w:t>
      </w:r>
      <w:r>
        <w:rPr>
          <w:rFonts w:hint="eastAsia" w:ascii="仿宋" w:hAnsi="仿宋" w:eastAsia="仿宋"/>
          <w:sz w:val="32"/>
          <w:szCs w:val="32"/>
        </w:rPr>
        <w:t>件。全部在第一时间解决处置，办结率100%。</w:t>
      </w:r>
    </w:p>
    <w:p>
      <w:pPr>
        <w:ind w:firstLine="640" w:firstLineChars="200"/>
        <w:rPr>
          <w:rFonts w:ascii="仿宋" w:hAnsi="仿宋" w:eastAsia="仿宋"/>
          <w:sz w:val="32"/>
          <w:szCs w:val="32"/>
        </w:rPr>
      </w:pPr>
      <w:r>
        <w:rPr>
          <w:rFonts w:hint="eastAsia" w:ascii="仿宋" w:hAnsi="仿宋" w:eastAsia="仿宋"/>
          <w:sz w:val="32"/>
          <w:szCs w:val="32"/>
        </w:rPr>
        <w:t>市水务局领导十分重视 “5·15”政务公开日活动。按照市政府要求， 5月15日，我局以第十五届“5·15政务公开日”活动为契机，积极参与我市政务公开集中宣传活动。以深化政务公开助推行政决策科学化、民主化、法治化和政务服务标准化、规范化、便民化，积极回应社会关切，切实保障人民群众知情权、参与权、表达权、监督权，扎实推进政务公开工作开展常态化。活动中，采取设立展板、发放宣传单、现场解答等多种形式突出活动实效，并结合水务系统职责权限、服务范围、相关政策，围绕水资源管理、农村饮水、河长制、水土保持等工作，现场解答了咨询及诉求问题20余人次，发放宣传册60余份, 大大增强了群众的获得感、幸福感和安全感。</w:t>
      </w:r>
    </w:p>
    <w:p>
      <w:pPr>
        <w:spacing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二、主动公开政府信息情况</w:t>
      </w:r>
    </w:p>
    <w:p>
      <w:pPr>
        <w:spacing w:line="579" w:lineRule="exact"/>
        <w:ind w:firstLine="640" w:firstLineChars="200"/>
        <w:rPr>
          <w:rFonts w:ascii="黑体" w:hAnsi="黑体" w:eastAsia="黑体" w:cs="Times New Roman"/>
          <w:sz w:val="32"/>
          <w:szCs w:val="32"/>
        </w:rPr>
      </w:pPr>
    </w:p>
    <w:tbl>
      <w:tblPr>
        <w:tblStyle w:val="4"/>
        <w:tblW w:w="8416" w:type="dxa"/>
        <w:jc w:val="center"/>
        <w:tblLayout w:type="fixed"/>
        <w:tblCellMar>
          <w:top w:w="0" w:type="dxa"/>
          <w:left w:w="108" w:type="dxa"/>
          <w:bottom w:w="0" w:type="dxa"/>
          <w:right w:w="108" w:type="dxa"/>
        </w:tblCellMar>
      </w:tblPr>
      <w:tblGrid>
        <w:gridCol w:w="2159"/>
        <w:gridCol w:w="2234"/>
        <w:gridCol w:w="2036"/>
        <w:gridCol w:w="1987"/>
      </w:tblGrid>
      <w:tr>
        <w:tblPrEx>
          <w:tblCellMar>
            <w:top w:w="0" w:type="dxa"/>
            <w:left w:w="108" w:type="dxa"/>
            <w:bottom w:w="0" w:type="dxa"/>
            <w:right w:w="108" w:type="dxa"/>
          </w:tblCellMar>
        </w:tblPrEx>
        <w:trPr>
          <w:trHeight w:val="529" w:hRule="atLeast"/>
          <w:jc w:val="center"/>
        </w:trPr>
        <w:tc>
          <w:tcPr>
            <w:tcW w:w="8416"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第二十条　第（一）项</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信息内容</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203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本年废止</w:t>
            </w:r>
            <w:r>
              <w:rPr>
                <w:rFonts w:hint="eastAsia" w:ascii="宋体" w:hAnsi="宋体" w:eastAsia="宋体" w:cs="宋体"/>
                <w:color w:val="333333"/>
                <w:kern w:val="0"/>
                <w:szCs w:val="21"/>
              </w:rPr>
              <w:t>件数</w:t>
            </w:r>
          </w:p>
        </w:tc>
        <w:tc>
          <w:tcPr>
            <w:tcW w:w="198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333333"/>
                <w:kern w:val="0"/>
                <w:szCs w:val="21"/>
              </w:rPr>
              <w:t>现行有效件数</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规章</w:t>
            </w:r>
          </w:p>
        </w:tc>
        <w:tc>
          <w:tcPr>
            <w:tcW w:w="22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0</w:t>
            </w:r>
          </w:p>
        </w:tc>
        <w:tc>
          <w:tcPr>
            <w:tcW w:w="203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333333"/>
                <w:kern w:val="0"/>
                <w:szCs w:val="21"/>
              </w:rPr>
            </w:pPr>
            <w:r>
              <w:rPr>
                <w:rFonts w:hint="eastAsia" w:ascii="宋体" w:hAnsi="Calibri" w:eastAsia="宋体" w:cs="Times New Roman"/>
                <w:color w:val="000000"/>
                <w:kern w:val="0"/>
                <w:szCs w:val="21"/>
              </w:rPr>
              <w:t> </w:t>
            </w:r>
            <w:r>
              <w:rPr>
                <w:rFonts w:ascii="宋体" w:hAnsi="Calibri" w:eastAsia="宋体" w:cs="Times New Roman"/>
                <w:color w:val="000000"/>
                <w:kern w:val="0"/>
                <w:szCs w:val="21"/>
              </w:rPr>
              <w:t>0</w:t>
            </w:r>
          </w:p>
        </w:tc>
        <w:tc>
          <w:tcPr>
            <w:tcW w:w="19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　0</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行政规范性文件</w:t>
            </w:r>
          </w:p>
        </w:tc>
        <w:tc>
          <w:tcPr>
            <w:tcW w:w="2234"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highlight w:val="none"/>
              </w:rPr>
            </w:pPr>
            <w:r>
              <w:rPr>
                <w:rFonts w:hint="eastAsia" w:ascii="宋体" w:hAnsi="宋体" w:eastAsia="宋体" w:cs="宋体"/>
                <w:color w:val="333333"/>
                <w:kern w:val="0"/>
                <w:szCs w:val="21"/>
                <w:highlight w:val="none"/>
              </w:rPr>
              <w:t>0</w:t>
            </w:r>
          </w:p>
        </w:tc>
        <w:tc>
          <w:tcPr>
            <w:tcW w:w="2036"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333333"/>
                <w:kern w:val="0"/>
                <w:szCs w:val="21"/>
                <w:highlight w:val="none"/>
              </w:rPr>
            </w:pPr>
            <w:r>
              <w:rPr>
                <w:rFonts w:hint="eastAsia" w:ascii="宋体" w:hAnsi="Calibri" w:eastAsia="宋体" w:cs="Times New Roman"/>
                <w:color w:val="000000"/>
                <w:kern w:val="0"/>
                <w:szCs w:val="21"/>
                <w:highlight w:val="none"/>
              </w:rPr>
              <w:t> </w:t>
            </w:r>
            <w:r>
              <w:rPr>
                <w:rFonts w:ascii="宋体" w:hAnsi="Calibri" w:eastAsia="宋体" w:cs="Times New Roman"/>
                <w:color w:val="000000"/>
                <w:kern w:val="0"/>
                <w:szCs w:val="21"/>
                <w:highlight w:val="none"/>
              </w:rPr>
              <w:t>0</w:t>
            </w:r>
          </w:p>
        </w:tc>
        <w:tc>
          <w:tcPr>
            <w:tcW w:w="1987"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　2</w:t>
            </w:r>
            <w:r>
              <w:rPr>
                <w:rFonts w:ascii="宋体" w:hAnsi="宋体" w:eastAsia="宋体" w:cs="宋体"/>
                <w:color w:val="000000"/>
                <w:kern w:val="0"/>
                <w:szCs w:val="21"/>
              </w:rPr>
              <w:t>1</w:t>
            </w:r>
          </w:p>
        </w:tc>
      </w:tr>
      <w:tr>
        <w:tblPrEx>
          <w:tblCellMar>
            <w:top w:w="0" w:type="dxa"/>
            <w:left w:w="108" w:type="dxa"/>
            <w:bottom w:w="0" w:type="dxa"/>
            <w:right w:w="108" w:type="dxa"/>
          </w:tblCellMar>
        </w:tblPrEx>
        <w:trPr>
          <w:trHeight w:val="529" w:hRule="atLeast"/>
          <w:jc w:val="center"/>
        </w:trPr>
        <w:tc>
          <w:tcPr>
            <w:tcW w:w="8416"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第二十条　第（五）项</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信息内容</w:t>
            </w:r>
          </w:p>
        </w:tc>
        <w:tc>
          <w:tcPr>
            <w:tcW w:w="625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本年处理决定数量</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行政许可</w:t>
            </w:r>
          </w:p>
        </w:tc>
        <w:tc>
          <w:tcPr>
            <w:tcW w:w="6257" w:type="dxa"/>
            <w:gridSpan w:val="3"/>
            <w:tcBorders>
              <w:top w:val="nil"/>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3</w:t>
            </w:r>
            <w:r>
              <w:rPr>
                <w:rFonts w:ascii="宋体" w:hAnsi="宋体" w:eastAsia="宋体" w:cs="宋体"/>
                <w:color w:val="333333"/>
                <w:kern w:val="0"/>
                <w:szCs w:val="21"/>
              </w:rPr>
              <w:t>1</w:t>
            </w:r>
          </w:p>
        </w:tc>
      </w:tr>
      <w:tr>
        <w:tblPrEx>
          <w:tblCellMar>
            <w:top w:w="0" w:type="dxa"/>
            <w:left w:w="108" w:type="dxa"/>
            <w:bottom w:w="0" w:type="dxa"/>
            <w:right w:w="108" w:type="dxa"/>
          </w:tblCellMar>
        </w:tblPrEx>
        <w:trPr>
          <w:trHeight w:val="529" w:hRule="atLeast"/>
          <w:jc w:val="center"/>
        </w:trPr>
        <w:tc>
          <w:tcPr>
            <w:tcW w:w="8416"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第二十条　第（六）项</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信息内容</w:t>
            </w:r>
          </w:p>
        </w:tc>
        <w:tc>
          <w:tcPr>
            <w:tcW w:w="625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本年处理决定数量</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行政处罚</w:t>
            </w:r>
          </w:p>
        </w:tc>
        <w:tc>
          <w:tcPr>
            <w:tcW w:w="6257"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1</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行政强制</w:t>
            </w:r>
          </w:p>
        </w:tc>
        <w:tc>
          <w:tcPr>
            <w:tcW w:w="6257" w:type="dxa"/>
            <w:gridSpan w:val="3"/>
            <w:tcBorders>
              <w:top w:val="nil"/>
              <w:left w:val="nil"/>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333333"/>
                <w:kern w:val="0"/>
                <w:szCs w:val="21"/>
              </w:rPr>
              <w:t>0</w:t>
            </w:r>
          </w:p>
        </w:tc>
      </w:tr>
      <w:tr>
        <w:tblPrEx>
          <w:tblCellMar>
            <w:top w:w="0" w:type="dxa"/>
            <w:left w:w="108" w:type="dxa"/>
            <w:bottom w:w="0" w:type="dxa"/>
            <w:right w:w="108" w:type="dxa"/>
          </w:tblCellMar>
        </w:tblPrEx>
        <w:trPr>
          <w:trHeight w:val="529" w:hRule="atLeast"/>
          <w:jc w:val="center"/>
        </w:trPr>
        <w:tc>
          <w:tcPr>
            <w:tcW w:w="8416"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第二十条　第（八）项</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333333"/>
                <w:kern w:val="0"/>
                <w:szCs w:val="21"/>
              </w:rPr>
            </w:pPr>
            <w:r>
              <w:rPr>
                <w:rFonts w:hint="eastAsia" w:ascii="宋体" w:hAnsi="宋体" w:eastAsia="宋体" w:cs="宋体"/>
                <w:color w:val="000000"/>
                <w:kern w:val="0"/>
                <w:szCs w:val="21"/>
              </w:rPr>
              <w:t>信息内容</w:t>
            </w:r>
          </w:p>
        </w:tc>
        <w:tc>
          <w:tcPr>
            <w:tcW w:w="6257" w:type="dxa"/>
            <w:gridSpan w:val="3"/>
            <w:tcBorders>
              <w:top w:val="nil"/>
              <w:left w:val="nil"/>
              <w:bottom w:val="single" w:color="auto" w:sz="4" w:space="0"/>
              <w:right w:val="single" w:color="000000" w:sz="4" w:space="0"/>
            </w:tcBorders>
            <w:noWrap/>
            <w:vAlign w:val="center"/>
          </w:tcPr>
          <w:p>
            <w:pPr>
              <w:widowControl/>
              <w:tabs>
                <w:tab w:val="left" w:pos="1517"/>
              </w:tabs>
              <w:jc w:val="left"/>
              <w:rPr>
                <w:rFonts w:ascii="宋体" w:hAnsi="宋体" w:eastAsia="宋体" w:cs="宋体"/>
                <w:color w:val="333333"/>
                <w:kern w:val="0"/>
                <w:szCs w:val="21"/>
              </w:rPr>
            </w:pPr>
            <w:r>
              <w:rPr>
                <w:rFonts w:hint="eastAsia" w:ascii="宋体" w:hAnsi="宋体" w:eastAsia="宋体" w:cs="宋体"/>
                <w:color w:val="333333"/>
                <w:kern w:val="0"/>
                <w:szCs w:val="21"/>
              </w:rPr>
              <w:tab/>
            </w:r>
            <w:r>
              <w:rPr>
                <w:rFonts w:hint="eastAsia" w:ascii="宋体" w:hAnsi="宋体" w:eastAsia="宋体" w:cs="宋体"/>
                <w:kern w:val="0"/>
                <w:szCs w:val="21"/>
              </w:rPr>
              <w:t>本年收费金额（单位：万元）</w:t>
            </w:r>
          </w:p>
        </w:tc>
      </w:tr>
      <w:tr>
        <w:tblPrEx>
          <w:tblCellMar>
            <w:top w:w="0" w:type="dxa"/>
            <w:left w:w="108" w:type="dxa"/>
            <w:bottom w:w="0" w:type="dxa"/>
            <w:right w:w="108" w:type="dxa"/>
          </w:tblCellMar>
        </w:tblPrEx>
        <w:trPr>
          <w:trHeight w:val="529" w:hRule="atLeast"/>
          <w:jc w:val="center"/>
        </w:trPr>
        <w:tc>
          <w:tcPr>
            <w:tcW w:w="2159"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行政事业性收费</w:t>
            </w:r>
          </w:p>
        </w:tc>
        <w:tc>
          <w:tcPr>
            <w:tcW w:w="6257" w:type="dxa"/>
            <w:gridSpan w:val="3"/>
            <w:tcBorders>
              <w:top w:val="nil"/>
              <w:left w:val="nil"/>
              <w:bottom w:val="single" w:color="auto" w:sz="4" w:space="0"/>
              <w:right w:val="single" w:color="000000" w:sz="4" w:space="0"/>
            </w:tcBorders>
            <w:noWrap/>
            <w:vAlign w:val="center"/>
          </w:tcPr>
          <w:p>
            <w:pPr>
              <w:widowControl/>
              <w:jc w:val="left"/>
              <w:rPr>
                <w:rFonts w:ascii="宋体" w:hAnsi="宋体" w:eastAsia="宋体" w:cs="宋体"/>
                <w:color w:val="333333"/>
                <w:kern w:val="0"/>
                <w:szCs w:val="21"/>
              </w:rPr>
            </w:pPr>
            <w:r>
              <w:rPr>
                <w:rFonts w:hint="eastAsia" w:ascii="宋体" w:hAnsi="宋体" w:eastAsia="宋体" w:cs="宋体"/>
                <w:color w:val="000000"/>
                <w:kern w:val="0"/>
                <w:szCs w:val="21"/>
              </w:rPr>
              <w:t>　</w:t>
            </w:r>
            <w:r>
              <w:rPr>
                <w:rFonts w:hint="eastAsia" w:ascii="宋体" w:hAnsi="Calibri" w:eastAsia="宋体" w:cs="Times New Roman"/>
                <w:color w:val="000000"/>
                <w:kern w:val="0"/>
                <w:szCs w:val="21"/>
              </w:rPr>
              <w:t> </w:t>
            </w:r>
            <w:r>
              <w:rPr>
                <w:rFonts w:ascii="宋体" w:hAnsi="Calibri" w:eastAsia="宋体" w:cs="Times New Roman"/>
                <w:color w:val="000000"/>
                <w:kern w:val="0"/>
                <w:szCs w:val="21"/>
              </w:rPr>
              <w:t>0</w:t>
            </w:r>
          </w:p>
        </w:tc>
      </w:tr>
    </w:tbl>
    <w:p>
      <w:pPr>
        <w:spacing w:line="579" w:lineRule="exact"/>
        <w:rPr>
          <w:rFonts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 xml:space="preserve">  </w:t>
      </w:r>
    </w:p>
    <w:p>
      <w:pPr>
        <w:spacing w:line="579" w:lineRule="exact"/>
        <w:rPr>
          <w:rFonts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 xml:space="preserve"> </w:t>
      </w:r>
      <w:r>
        <w:rPr>
          <w:rFonts w:ascii="黑体" w:hAnsi="黑体" w:eastAsia="黑体" w:cs="Times New Roman"/>
          <w:b/>
          <w:bCs/>
          <w:color w:val="333333"/>
          <w:kern w:val="0"/>
          <w:sz w:val="32"/>
          <w:szCs w:val="32"/>
        </w:rPr>
        <w:t>三、收到和处理政府信息公开申请情况</w:t>
      </w:r>
    </w:p>
    <w:p>
      <w:pPr>
        <w:spacing w:line="579" w:lineRule="exact"/>
        <w:ind w:firstLine="643" w:firstLineChars="200"/>
        <w:rPr>
          <w:rFonts w:ascii="黑体" w:hAnsi="黑体" w:eastAsia="黑体" w:cs="Times New Roman"/>
          <w:b/>
          <w:bCs/>
          <w:color w:val="333333"/>
          <w:kern w:val="0"/>
          <w:sz w:val="32"/>
          <w:szCs w:val="32"/>
        </w:rPr>
      </w:pPr>
    </w:p>
    <w:tbl>
      <w:tblPr>
        <w:tblStyle w:val="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8"/>
        <w:gridCol w:w="2977"/>
        <w:gridCol w:w="825"/>
        <w:gridCol w:w="765"/>
        <w:gridCol w:w="765"/>
        <w:gridCol w:w="825"/>
        <w:gridCol w:w="1054"/>
        <w:gridCol w:w="65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Calibri" w:eastAsia="楷体_GB2312" w:cs="Times New Roman"/>
                <w:sz w:val="20"/>
                <w:szCs w:val="20"/>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25" w:type="dxa"/>
            <w:vMerge w:val="restar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自然人</w:t>
            </w:r>
          </w:p>
        </w:tc>
        <w:tc>
          <w:tcPr>
            <w:tcW w:w="406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法人或其他组织</w:t>
            </w:r>
          </w:p>
        </w:tc>
        <w:tc>
          <w:tcPr>
            <w:tcW w:w="702"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2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商业企业</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科研机构</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社会公益组织</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法律服务机构</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其他</w:t>
            </w:r>
          </w:p>
        </w:tc>
        <w:tc>
          <w:tcPr>
            <w:tcW w:w="702"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Calibri" w:hAnsi="Calibri" w:eastAsia="宋体" w:cs="Times New Roman"/>
                <w:sz w:val="20"/>
                <w:szCs w:val="20"/>
              </w:rPr>
              <w:t>一、本年新收政府信息公开申请数量</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Calibri" w:hAnsi="Calibri" w:eastAsia="宋体" w:cs="Times New Roman"/>
                <w:sz w:val="20"/>
                <w:szCs w:val="20"/>
              </w:rPr>
              <w:t>二、上年结转政府信息公开申请数量</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Calibri" w:hAnsi="Calibri" w:eastAsia="宋体" w:cs="Times New Roman"/>
                <w:sz w:val="20"/>
                <w:szCs w:val="20"/>
              </w:rPr>
              <w:t>三、本年度办理结果</w:t>
            </w:r>
          </w:p>
        </w:tc>
        <w:tc>
          <w:tcPr>
            <w:tcW w:w="384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（一）予以公开</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84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（二）部分公开</w:t>
            </w:r>
            <w:r>
              <w:rPr>
                <w:rFonts w:hint="eastAsia" w:ascii="楷体_GB2312" w:hAnsi="宋体" w:eastAsia="楷体_GB2312" w:cs="宋体"/>
                <w:sz w:val="20"/>
                <w:szCs w:val="20"/>
              </w:rPr>
              <w:t>（区分处理的，只计这一情形，不计其他情形）</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（三）不予公开</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1.属于国家秘密</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2.其他法律行政法规禁止公开</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3.危及“三安全一稳定”</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4.保护第三方合法权益</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5.属于三类内部事务信息</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6.属于四类过程性信息</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7.属于行政执法案卷</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8.属于行政查询事项</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（四）无法提供</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1.本机关不掌握相关政府信息</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2.没有现成信息需要另行制作</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0"/>
                <w:szCs w:val="20"/>
              </w:rPr>
            </w:pPr>
            <w:r>
              <w:rPr>
                <w:rFonts w:hint="eastAsia" w:ascii="宋体" w:hAnsi="宋体" w:eastAsia="宋体" w:cs="宋体"/>
                <w:sz w:val="20"/>
                <w:szCs w:val="20"/>
              </w:rPr>
              <w:t>3.补正后申请内容仍不明确</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（五）不予处理</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1.信访举报投诉类申请</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2.重复申请</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3.要求提供公开出版物</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4.无正当理由大量反复申请</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98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5.要求行政机关确认或重新出具已获取信息</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63" w:type="dxa"/>
            <w:gridSpan w:val="2"/>
            <w:vMerge w:val="restart"/>
            <w:tcBorders>
              <w:top w:val="single" w:color="auto" w:sz="4" w:space="0"/>
              <w:left w:val="nil"/>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（六）其他处理</w:t>
            </w:r>
          </w:p>
        </w:tc>
        <w:tc>
          <w:tcPr>
            <w:tcW w:w="297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825"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vMerge w:val="restart"/>
            <w:tcBorders>
              <w:top w:val="single" w:color="auto" w:sz="4" w:space="0"/>
              <w:left w:val="nil"/>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63" w:type="dxa"/>
            <w:gridSpan w:val="2"/>
            <w:vMerge w:val="continue"/>
            <w:tcBorders>
              <w:left w:val="nil"/>
              <w:right w:val="single" w:color="auto" w:sz="4" w:space="0"/>
            </w:tcBorders>
            <w:vAlign w:val="center"/>
          </w:tcPr>
          <w:p>
            <w:pPr>
              <w:widowControl/>
              <w:jc w:val="left"/>
              <w:rPr>
                <w:rFonts w:ascii="宋体" w:hAnsi="宋体" w:eastAsia="宋体" w:cs="宋体"/>
                <w:sz w:val="20"/>
                <w:szCs w:val="20"/>
              </w:rPr>
            </w:pPr>
          </w:p>
        </w:tc>
        <w:tc>
          <w:tcPr>
            <w:tcW w:w="297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825"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765"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765"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825"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1054"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656"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c>
          <w:tcPr>
            <w:tcW w:w="702" w:type="dxa"/>
            <w:vMerge w:val="continue"/>
            <w:tcBorders>
              <w:left w:val="nil"/>
              <w:right w:val="single" w:color="auto" w:sz="4" w:space="0"/>
            </w:tcBorders>
            <w:vAlign w:val="center"/>
          </w:tcPr>
          <w:p>
            <w:pPr>
              <w:widowControl/>
              <w:jc w:val="center"/>
              <w:rPr>
                <w:rFonts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94"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63" w:type="dxa"/>
            <w:gridSpan w:val="2"/>
            <w:vMerge w:val="continue"/>
            <w:tcBorders>
              <w:left w:val="nil"/>
              <w:bottom w:val="single" w:color="auto" w:sz="4" w:space="0"/>
              <w:right w:val="single" w:color="auto" w:sz="4" w:space="0"/>
            </w:tcBorders>
            <w:vAlign w:val="center"/>
          </w:tcPr>
          <w:p>
            <w:pPr>
              <w:widowControl/>
              <w:jc w:val="left"/>
              <w:rPr>
                <w:rFonts w:ascii="宋体" w:hAnsi="宋体" w:eastAsia="宋体" w:cs="宋体"/>
                <w:sz w:val="20"/>
                <w:szCs w:val="20"/>
              </w:rPr>
            </w:pPr>
          </w:p>
        </w:tc>
        <w:tc>
          <w:tcPr>
            <w:tcW w:w="297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825"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765"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765"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825"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1054"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656"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c>
          <w:tcPr>
            <w:tcW w:w="702" w:type="dxa"/>
            <w:vMerge w:val="continue"/>
            <w:tcBorders>
              <w:left w:val="nil"/>
              <w:bottom w:val="single" w:color="auto" w:sz="4" w:space="0"/>
              <w:right w:val="single" w:color="auto" w:sz="4" w:space="0"/>
            </w:tcBorders>
            <w:vAlign w:val="center"/>
          </w:tcPr>
          <w:p>
            <w:pPr>
              <w:widowControl/>
              <w:jc w:val="center"/>
              <w:rPr>
                <w:rFonts w:ascii="Calibri" w:hAnsi="Calibri"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84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sz w:val="20"/>
                <w:szCs w:val="20"/>
              </w:rPr>
              <w:t>（七）总计</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Calibri" w:hAnsi="Calibri" w:eastAsia="宋体" w:cs="Times New Roman"/>
                <w:sz w:val="20"/>
                <w:szCs w:val="20"/>
              </w:rPr>
              <w:t>四、结转下年度继续办理</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 0</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w:t>
            </w:r>
          </w:p>
        </w:tc>
        <w:tc>
          <w:tcPr>
            <w:tcW w:w="825"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 w:val="20"/>
                <w:szCs w:val="20"/>
              </w:rPr>
            </w:pPr>
            <w:r>
              <w:rPr>
                <w:rFonts w:ascii="Calibri" w:hAnsi="Calibri" w:eastAsia="宋体" w:cs="Times New Roman"/>
                <w:sz w:val="20"/>
                <w:szCs w:val="20"/>
              </w:rPr>
              <w:t> 0</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6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Calibri" w:hAnsi="Calibri" w:eastAsia="宋体" w:cs="Times New Roman"/>
                <w:sz w:val="20"/>
                <w:szCs w:val="20"/>
              </w:rPr>
              <w:t>0 </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widowControl/>
        <w:spacing w:line="579" w:lineRule="exact"/>
        <w:rPr>
          <w:rFonts w:ascii="黑体" w:hAnsi="黑体" w:eastAsia="黑体" w:cs="宋体"/>
          <w:kern w:val="0"/>
          <w:sz w:val="32"/>
          <w:szCs w:val="32"/>
        </w:rPr>
      </w:pPr>
      <w:r>
        <w:rPr>
          <w:rFonts w:hint="eastAsia" w:ascii="黑体" w:hAnsi="黑体" w:eastAsia="黑体" w:cs="宋体"/>
          <w:kern w:val="0"/>
          <w:sz w:val="32"/>
          <w:szCs w:val="32"/>
        </w:rPr>
        <w:t xml:space="preserve">   四、政府信息公开行政复议、行政诉讼情况</w:t>
      </w:r>
    </w:p>
    <w:p>
      <w:pPr>
        <w:widowControl/>
        <w:spacing w:line="579" w:lineRule="exact"/>
        <w:ind w:firstLine="480"/>
        <w:rPr>
          <w:rFonts w:ascii="黑体" w:hAnsi="黑体" w:eastAsia="黑体" w:cs="宋体"/>
          <w:kern w:val="0"/>
          <w:sz w:val="32"/>
          <w:szCs w:val="32"/>
        </w:rPr>
      </w:pP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Calibri" w:hAnsi="Calibri" w:eastAsia="宋体" w:cs="Times New Roman"/>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 0</w:t>
            </w:r>
          </w:p>
        </w:tc>
        <w:tc>
          <w:tcPr>
            <w:tcW w:w="6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0 </w:t>
            </w:r>
          </w:p>
        </w:tc>
        <w:tc>
          <w:tcPr>
            <w:tcW w:w="6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 0</w:t>
            </w:r>
          </w:p>
        </w:tc>
        <w:tc>
          <w:tcPr>
            <w:tcW w:w="6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0 </w:t>
            </w:r>
          </w:p>
        </w:tc>
        <w:tc>
          <w:tcPr>
            <w:tcW w:w="658"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kern w:val="0"/>
                <w:szCs w:val="21"/>
              </w:rPr>
            </w:pPr>
            <w:r>
              <w:rPr>
                <w:rFonts w:ascii="Calibri" w:hAnsi="Calibri" w:eastAsia="宋体" w:cs="Times New Roman"/>
                <w:sz w:val="20"/>
                <w:szCs w:val="20"/>
              </w:rPr>
              <w:t>0 </w:t>
            </w:r>
          </w:p>
        </w:tc>
        <w:tc>
          <w:tcPr>
            <w:tcW w:w="55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 w:val="20"/>
                <w:szCs w:val="20"/>
              </w:rPr>
              <w:t>0</w:t>
            </w:r>
            <w:r>
              <w:rPr>
                <w:rFonts w:hint="eastAsia" w:ascii="宋体" w:hAnsi="宋体" w:eastAsia="宋体" w:cs="宋体"/>
                <w:kern w:val="0"/>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 w:val="20"/>
                <w:szCs w:val="20"/>
              </w:rPr>
              <w:t>0</w:t>
            </w:r>
            <w:r>
              <w:rPr>
                <w:rFonts w:hint="eastAsia" w:ascii="宋体" w:hAnsi="宋体" w:eastAsia="宋体" w:cs="宋体"/>
                <w:kern w:val="0"/>
                <w:sz w:val="20"/>
                <w:szCs w:val="20"/>
              </w:rPr>
              <w:t> </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Calibri" w:hAnsi="Calibri" w:eastAsia="宋体" w:cs="Times New Roman"/>
                <w:sz w:val="20"/>
                <w:szCs w:val="20"/>
              </w:rPr>
              <w:t>0</w:t>
            </w:r>
            <w:r>
              <w:rPr>
                <w:rFonts w:hint="eastAsia" w:ascii="Calibri" w:hAnsi="Calibri" w:eastAsia="宋体" w:cs="Times New Roman"/>
                <w:sz w:val="20"/>
                <w:szCs w:val="20"/>
              </w:rPr>
              <w:t> </w:t>
            </w:r>
          </w:p>
        </w:tc>
        <w:tc>
          <w:tcPr>
            <w:tcW w:w="60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r>
    </w:tbl>
    <w:p>
      <w:pPr>
        <w:widowControl/>
        <w:spacing w:line="579" w:lineRule="exact"/>
        <w:rPr>
          <w:rFonts w:ascii="Times New Roman" w:hAnsi="Times New Roman" w:eastAsia="宋体" w:cs="Times New Roman"/>
          <w:kern w:val="0"/>
          <w:sz w:val="32"/>
          <w:szCs w:val="32"/>
        </w:rPr>
      </w:pPr>
    </w:p>
    <w:p>
      <w:pPr>
        <w:widowControl/>
        <w:spacing w:line="579" w:lineRule="exact"/>
        <w:ind w:firstLine="480"/>
        <w:rPr>
          <w:rFonts w:ascii="黑体" w:hAnsi="黑体" w:eastAsia="黑体" w:cs="Times New Roman"/>
          <w:kern w:val="0"/>
          <w:sz w:val="32"/>
          <w:szCs w:val="32"/>
        </w:rPr>
      </w:pPr>
      <w:r>
        <w:rPr>
          <w:rFonts w:ascii="黑体" w:hAnsi="黑体" w:eastAsia="黑体" w:cs="Times New Roman"/>
          <w:kern w:val="0"/>
          <w:sz w:val="32"/>
          <w:szCs w:val="32"/>
        </w:rPr>
        <w:t>五、存在的主要问题及改进情况</w:t>
      </w:r>
    </w:p>
    <w:p>
      <w:pPr>
        <w:widowControl/>
        <w:spacing w:line="432" w:lineRule="auto"/>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color w:val="000000" w:themeColor="text1"/>
          <w:sz w:val="32"/>
          <w:szCs w:val="32"/>
        </w:rPr>
        <w:t>虽然在政府信息公开工作的诸多方面取得了较大的进步，但</w:t>
      </w:r>
      <w:r>
        <w:rPr>
          <w:rFonts w:hint="eastAsia" w:ascii="仿宋" w:hAnsi="仿宋" w:eastAsia="仿宋" w:cs="仿宋_GB2312"/>
          <w:color w:val="000000" w:themeColor="text1"/>
          <w:kern w:val="0"/>
          <w:sz w:val="32"/>
          <w:szCs w:val="32"/>
        </w:rPr>
        <w:t>随着政务公开工作不断深入，我们在工作中也发现</w:t>
      </w:r>
      <w:r>
        <w:rPr>
          <w:rFonts w:ascii="仿宋" w:hAnsi="仿宋" w:eastAsia="仿宋" w:cs="仿宋_GB2312"/>
          <w:color w:val="000000" w:themeColor="text1"/>
          <w:kern w:val="0"/>
          <w:sz w:val="32"/>
          <w:szCs w:val="32"/>
        </w:rPr>
        <w:t>一定的问题</w:t>
      </w:r>
      <w:r>
        <w:rPr>
          <w:rFonts w:hint="eastAsia" w:ascii="仿宋" w:hAnsi="仿宋" w:eastAsia="仿宋" w:cs="仿宋_GB2312"/>
          <w:color w:val="000000" w:themeColor="text1"/>
          <w:kern w:val="0"/>
          <w:sz w:val="32"/>
          <w:szCs w:val="32"/>
        </w:rPr>
        <w:t>：</w:t>
      </w:r>
      <w:r>
        <w:rPr>
          <w:rFonts w:hint="eastAsia" w:ascii="仿宋" w:hAnsi="仿宋" w:eastAsia="仿宋" w:cs="仿宋_GB2312"/>
          <w:color w:val="000000" w:themeColor="text1"/>
          <w:sz w:val="32"/>
          <w:szCs w:val="32"/>
        </w:rPr>
        <w:t>一是管理体制尚需进一步理顺；二是专业技术人才短缺；三是一些部门的信息公开意识有待提高。</w:t>
      </w:r>
    </w:p>
    <w:p>
      <w:pPr>
        <w:widowControl/>
        <w:spacing w:line="432" w:lineRule="auto"/>
        <w:ind w:firstLine="640" w:firstLineChars="200"/>
        <w:rPr>
          <w:rFonts w:ascii="仿宋" w:hAnsi="仿宋" w:eastAsia="仿宋" w:cs="仿宋_GB2312"/>
          <w:color w:val="333333"/>
          <w:kern w:val="0"/>
          <w:sz w:val="32"/>
          <w:szCs w:val="32"/>
        </w:rPr>
      </w:pPr>
      <w:r>
        <w:rPr>
          <w:rFonts w:hint="eastAsia" w:ascii="仿宋" w:hAnsi="仿宋" w:eastAsia="仿宋" w:cs="仿宋_GB2312"/>
          <w:color w:val="000000" w:themeColor="text1"/>
          <w:kern w:val="0"/>
          <w:sz w:val="32"/>
          <w:szCs w:val="32"/>
        </w:rPr>
        <w:t>下一步，我们将进一步加大公开力度，认真组织专职兼职人员学习政府信息公开的相关文件，及时了解上级的部署要求，以社会需求为导向，紧扣民生主题，及时公开与公众息息相关的信息内容，不断提高群众对信息公开的知晓率、参与率和满意率，全面推进政府信息公开工作向纵深开展。</w:t>
      </w:r>
    </w:p>
    <w:p>
      <w:pPr>
        <w:widowControl/>
        <w:spacing w:line="579" w:lineRule="exact"/>
        <w:ind w:firstLine="480"/>
        <w:rPr>
          <w:rFonts w:ascii="黑体" w:hAnsi="黑体" w:eastAsia="黑体" w:cs="Times New Roman"/>
          <w:kern w:val="0"/>
          <w:sz w:val="32"/>
          <w:szCs w:val="32"/>
        </w:rPr>
      </w:pPr>
      <w:r>
        <w:rPr>
          <w:rFonts w:ascii="黑体" w:hAnsi="黑体" w:eastAsia="黑体" w:cs="Times New Roman"/>
          <w:kern w:val="0"/>
          <w:sz w:val="32"/>
          <w:szCs w:val="32"/>
        </w:rPr>
        <w:t>六、其他需要报告的事项</w:t>
      </w:r>
    </w:p>
    <w:p>
      <w:pPr>
        <w:widowControl/>
        <w:spacing w:line="432" w:lineRule="auto"/>
        <w:ind w:firstLine="480"/>
        <w:rPr>
          <w:rFonts w:ascii="黑体" w:hAnsi="黑体" w:eastAsia="黑体" w:cs="Times New Roman"/>
          <w:color w:val="000000" w:themeColor="text1"/>
          <w:kern w:val="0"/>
          <w:sz w:val="32"/>
          <w:szCs w:val="32"/>
        </w:rPr>
      </w:pPr>
      <w:r>
        <w:rPr>
          <w:rFonts w:hint="eastAsia" w:ascii="仿宋" w:hAnsi="仿宋" w:eastAsia="仿宋" w:cs="Times New Roman"/>
          <w:color w:val="000000" w:themeColor="text1"/>
          <w:kern w:val="0"/>
          <w:sz w:val="32"/>
          <w:szCs w:val="32"/>
        </w:rPr>
        <w:t>无其他需要报告的事项。</w:t>
      </w:r>
    </w:p>
    <w:p>
      <w:pPr>
        <w:widowControl/>
        <w:spacing w:line="579" w:lineRule="exact"/>
        <w:ind w:firstLine="480"/>
        <w:rPr>
          <w:rFonts w:ascii="黑体" w:hAnsi="黑体" w:eastAsia="黑体" w:cs="Times New Roman"/>
          <w:color w:val="333333"/>
          <w:kern w:val="0"/>
          <w:sz w:val="32"/>
          <w:szCs w:val="32"/>
        </w:rPr>
      </w:pPr>
    </w:p>
    <w:p>
      <w:pPr>
        <w:widowControl/>
        <w:spacing w:line="579" w:lineRule="exact"/>
        <w:ind w:firstLine="480"/>
        <w:rPr>
          <w:rFonts w:ascii="黑体" w:hAnsi="黑体" w:eastAsia="黑体" w:cs="Times New Roman"/>
          <w:color w:val="333333"/>
          <w:kern w:val="0"/>
          <w:sz w:val="32"/>
          <w:szCs w:val="32"/>
        </w:rPr>
      </w:pPr>
    </w:p>
    <w:p>
      <w:pPr>
        <w:widowControl/>
        <w:spacing w:line="432" w:lineRule="auto"/>
        <w:ind w:firstLine="480"/>
        <w:jc w:val="right"/>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本溪市水务局</w:t>
      </w:r>
    </w:p>
    <w:p>
      <w:pPr>
        <w:widowControl/>
        <w:spacing w:line="432" w:lineRule="auto"/>
        <w:ind w:firstLine="4800" w:firstLineChars="1500"/>
        <w:jc w:val="right"/>
        <w:rPr>
          <w:rFonts w:ascii="仿宋" w:hAnsi="仿宋" w:eastAsia="仿宋" w:cs="Times New Roman"/>
          <w:color w:val="333333"/>
          <w:kern w:val="0"/>
          <w:sz w:val="32"/>
          <w:szCs w:val="32"/>
        </w:rPr>
      </w:pPr>
      <w:r>
        <w:rPr>
          <w:rFonts w:hint="eastAsia" w:ascii="仿宋" w:hAnsi="仿宋" w:eastAsia="仿宋" w:cs="Times New Roman"/>
          <w:color w:val="333333"/>
          <w:kern w:val="0"/>
          <w:sz w:val="32"/>
          <w:szCs w:val="32"/>
        </w:rPr>
        <w:t>202</w:t>
      </w:r>
      <w:r>
        <w:rPr>
          <w:rFonts w:ascii="仿宋" w:hAnsi="仿宋" w:eastAsia="仿宋" w:cs="Times New Roman"/>
          <w:color w:val="333333"/>
          <w:kern w:val="0"/>
          <w:sz w:val="32"/>
          <w:szCs w:val="32"/>
        </w:rPr>
        <w:t>2</w:t>
      </w:r>
      <w:r>
        <w:rPr>
          <w:rFonts w:hint="eastAsia" w:ascii="仿宋" w:hAnsi="仿宋" w:eastAsia="仿宋" w:cs="Times New Roman"/>
          <w:color w:val="333333"/>
          <w:kern w:val="0"/>
          <w:sz w:val="32"/>
          <w:szCs w:val="32"/>
        </w:rPr>
        <w:t>年1月</w:t>
      </w:r>
      <w:r>
        <w:rPr>
          <w:rFonts w:ascii="仿宋" w:hAnsi="仿宋" w:eastAsia="仿宋" w:cs="Times New Roman"/>
          <w:color w:val="333333"/>
          <w:kern w:val="0"/>
          <w:sz w:val="32"/>
          <w:szCs w:val="32"/>
        </w:rPr>
        <w:t>11</w:t>
      </w:r>
      <w:r>
        <w:rPr>
          <w:rFonts w:hint="eastAsia" w:ascii="仿宋" w:hAnsi="仿宋" w:eastAsia="仿宋" w:cs="Times New Roman"/>
          <w:color w:val="333333"/>
          <w:kern w:val="0"/>
          <w:sz w:val="32"/>
          <w:szCs w:val="32"/>
        </w:rPr>
        <w:t>日</w:t>
      </w:r>
    </w:p>
    <w:p>
      <w:pPr>
        <w:widowControl/>
        <w:spacing w:line="579" w:lineRule="exact"/>
        <w:ind w:firstLine="480"/>
        <w:rPr>
          <w:rFonts w:ascii="仿宋" w:hAnsi="仿宋" w:eastAsia="仿宋" w:cs="Times New Roman"/>
          <w:color w:val="333333"/>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561279"/>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282"/>
    <w:rsid w:val="0005379E"/>
    <w:rsid w:val="000A76BB"/>
    <w:rsid w:val="000B5CDF"/>
    <w:rsid w:val="000B7282"/>
    <w:rsid w:val="000D670A"/>
    <w:rsid w:val="000E1446"/>
    <w:rsid w:val="000E4F44"/>
    <w:rsid w:val="0011171B"/>
    <w:rsid w:val="001839D9"/>
    <w:rsid w:val="001E6AD7"/>
    <w:rsid w:val="001F0AA3"/>
    <w:rsid w:val="001F3C0B"/>
    <w:rsid w:val="002636CE"/>
    <w:rsid w:val="002B34D6"/>
    <w:rsid w:val="00315E13"/>
    <w:rsid w:val="00354B11"/>
    <w:rsid w:val="00361D62"/>
    <w:rsid w:val="00372689"/>
    <w:rsid w:val="00393A7A"/>
    <w:rsid w:val="00397ACD"/>
    <w:rsid w:val="003D6AE6"/>
    <w:rsid w:val="003E6CFA"/>
    <w:rsid w:val="004100CF"/>
    <w:rsid w:val="004261CD"/>
    <w:rsid w:val="00433CD7"/>
    <w:rsid w:val="00456667"/>
    <w:rsid w:val="004802A2"/>
    <w:rsid w:val="00515DE5"/>
    <w:rsid w:val="00571F0C"/>
    <w:rsid w:val="0057384B"/>
    <w:rsid w:val="00574E15"/>
    <w:rsid w:val="005A12B8"/>
    <w:rsid w:val="00645231"/>
    <w:rsid w:val="00653D57"/>
    <w:rsid w:val="00657652"/>
    <w:rsid w:val="006618BF"/>
    <w:rsid w:val="006A677E"/>
    <w:rsid w:val="0070498B"/>
    <w:rsid w:val="00706030"/>
    <w:rsid w:val="00724ECE"/>
    <w:rsid w:val="00773876"/>
    <w:rsid w:val="007A3616"/>
    <w:rsid w:val="007E3F7D"/>
    <w:rsid w:val="008A57B4"/>
    <w:rsid w:val="008B61BA"/>
    <w:rsid w:val="008D31DE"/>
    <w:rsid w:val="008F41C6"/>
    <w:rsid w:val="00913929"/>
    <w:rsid w:val="00932C48"/>
    <w:rsid w:val="00940832"/>
    <w:rsid w:val="00962883"/>
    <w:rsid w:val="009A3B7F"/>
    <w:rsid w:val="009C44B7"/>
    <w:rsid w:val="009E2D6F"/>
    <w:rsid w:val="00A305E5"/>
    <w:rsid w:val="00A74F05"/>
    <w:rsid w:val="00A915F4"/>
    <w:rsid w:val="00AE5CEF"/>
    <w:rsid w:val="00B666C2"/>
    <w:rsid w:val="00B86DD9"/>
    <w:rsid w:val="00B87D62"/>
    <w:rsid w:val="00B9172F"/>
    <w:rsid w:val="00BA6E75"/>
    <w:rsid w:val="00C15357"/>
    <w:rsid w:val="00C32261"/>
    <w:rsid w:val="00C568BA"/>
    <w:rsid w:val="00C74939"/>
    <w:rsid w:val="00D40CF6"/>
    <w:rsid w:val="00D56CC2"/>
    <w:rsid w:val="00D6051E"/>
    <w:rsid w:val="00D626E3"/>
    <w:rsid w:val="00D71C40"/>
    <w:rsid w:val="00DB15DB"/>
    <w:rsid w:val="00DD4FC4"/>
    <w:rsid w:val="00DE6749"/>
    <w:rsid w:val="00E04157"/>
    <w:rsid w:val="00E7070B"/>
    <w:rsid w:val="00EA36D1"/>
    <w:rsid w:val="00ED495C"/>
    <w:rsid w:val="00F1642F"/>
    <w:rsid w:val="00F6190D"/>
    <w:rsid w:val="00F7144D"/>
    <w:rsid w:val="00FA2771"/>
    <w:rsid w:val="1DF7B397"/>
    <w:rsid w:val="2CB5790F"/>
    <w:rsid w:val="3F742F3D"/>
    <w:rsid w:val="77FB8D34"/>
    <w:rsid w:val="7CCCA3A2"/>
    <w:rsid w:val="E1DF2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xs/C:\Users\zhanggang\Documents\&#33258;&#23450;&#20041;%20Office%20&#27169;&#26495;\Doc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Doc1.dotx</Template>
  <Company>微软中国</Company>
  <Pages>5</Pages>
  <Words>378</Words>
  <Characters>2156</Characters>
  <Lines>17</Lines>
  <Paragraphs>5</Paragraphs>
  <TotalTime>149</TotalTime>
  <ScaleCrop>false</ScaleCrop>
  <LinksUpToDate>false</LinksUpToDate>
  <CharactersWithSpaces>2529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2019-11-27T23:03:00Z</dcterms:created>
  <dc:creator>zhanggang</dc:creator>
  <cp:lastModifiedBy>bxs</cp:lastModifiedBy>
  <dcterms:modified xsi:type="dcterms:W3CDTF">2022-01-18T10:20:40Z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FF843C4B00494E1AB26C09513B4474F1</vt:lpwstr>
  </property>
</Properties>
</file>